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436</w:t>
      </w:r>
    </w:p>
    <w:p>
      <w:r>
        <w:t>Bundesgericht (BGE), 2010-01-01, DE</w:t>
      </w:r>
    </w:p>
    <w:p>
      <w:r>
        <w:rPr>
          <w:b/>
        </w:rPr>
        <w:t xml:space="preserve">Quelle: </w:t>
      </w:r>
      <w:r>
        <w:t>https://mcp.opencaselaw.ch/entscheid/bge_136 II 436</w:t>
      </w:r>
    </w:p>
    <w:p>
      <w:r>
        <w:t>FR: ATF 136 II 436</w:t>
      </w:r>
    </w:p>
    <w:p>
      <w:r>
        <w:t>IT: DTF 136 II 436</w:t>
      </w:r>
    </w:p>
    <w:p>
      <w:pPr>
        <w:pStyle w:val="Heading2"/>
      </w:pPr>
      <w:r>
        <w:t>Regeste</w:t>
      </w:r>
    </w:p>
    <w:p>
      <w:r>
        <w:t>Regeste Art. 86 Abs. 3 BGG; Entscheide mit vorwiegend politischem Charakter. Aufgrund des engen Zusammenhangs zwischen Art. 86 Abs. 3 BGG und der Rechtsweggarantie nach Art. 29a BV kommt der Ausschluss der richterlichen Beurteilung ausdrücklich nur für Ausnahmefälle in Betracht. Mit Art. 86 Abs. 3 BGG soll den Kantonen namentlich die Möglichkeit eingeräumt werden, nicht justiziable, politisch bedeutsame Verwaltungsakte des Parlaments von der verwaltungsgerichtlichen Überprüfung auszunehmen (E. 1.2). Der angefochtene kantonale Entscheid über die Erteilung einer Wasserrechtskonzession hat zwar eine politische Komponente, umfasst jedoch nicht einzig den blossen Verleihungsakt, sondern regelt neben den Rechten insbesondere auch die Pflichten der Konzessionärin detailliert. Diese Aspekte sind justiziabel und weisen keinen vorwiegend politischen Charakter auf. Somit ist in einem gerichtlichen Verfahren zu prüfen, ob das Vorhaben der einschlägigen Gesetzgebung, insbesondere den Vorgaben des Bau-, Planungs- und Umweltrechts entspricht (E. 1.3).</w:t>
      </w:r>
    </w:p>
    <w:p>
      <w:pPr>
        <w:pStyle w:val="Heading2"/>
      </w:pPr>
      <w:r>
        <w:t>Erwägungen</w:t>
      </w:r>
    </w:p>
    <w:p>
      <w:r>
        <w:rPr>
          <w:b/>
        </w:rPr>
        <w:t>E. 1</w:t>
      </w:r>
    </w:p>
    <w:p>
      <w:r>
        <w:t>Das Bundesgericht prüft von Amtes wegen und mit freier Kognition, ob und inwieweit auf ein Rechtsmittel eingetreten werden kann ( Art. 29 Abs. 1 BGG ; BGE 133 II 249 E. 1.1 S. 251).</w:t>
      </w:r>
    </w:p>
    <w:p>
      <w:r>
        <w:rPr>
          <w:b/>
        </w:rPr>
        <w:t>E. 1.1</w:t>
      </w:r>
    </w:p>
    <w:p>
      <w:r>
        <w:t>Angefochten ist ein kantonaler Endentscheid über die Erteilung einer Wasserrechtskonzession. Es handelt sich dabei um eine öffentlich-rechtliche Angelegenheit im Sinne von Art. 82 lit. a BGG , welche grundsätzlich der Beschwerde in öffentlich-rechtlichen Angelegenheiten unterliegt.</w:t>
      </w:r>
    </w:p>
    <w:p>
      <w:r>
        <w:rPr>
          <w:b/>
        </w:rPr>
        <w:t>E. 1.2</w:t>
      </w:r>
    </w:p>
    <w:p>
      <w:r>
        <w:t>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 In den Materialien wird nicht näher erläutert, was unter dem unbestimmten Gesetzesbegriff "Entscheide mit vorwiegend politischem Charakter" im Einzelnen zu verstehen ist (vgl. Botschaft vom 28. Februar 2001 zur Totalrevision der Bundesrechtspflege, BBl 2001 4327 BGE 136 II 436 S. 439 zu Art. 80). Aufgrund des engen Zusammenhangs zwischen Art. 86 Abs. 3 BGG und der Rechtsweggarantie nach Art. 29a BV kommt der Ausschluss der richterlichen Beurteilung ausdrücklich nur für Ausnahmefälle in Betracht ( BGE 136 I 42 E. 1.5 S. 45; vgl. auch ESTHER TOPHINKE, in: Basler Kommentar, Bundesgerichtsgesetz, 2008, N. 19 zu Art. 86 BGG ). Mit Art. 86 Abs. 3 BGG soll den Kantonen namentlich die Möglichkeit eingeräumt werden, nicht justiziable, politisch bedeutsame Verwaltungsakte des Parlaments von der verwaltungsgerichtlichen Überprüfung auszunehmen.</w:t>
      </w:r>
    </w:p>
    <w:p>
      <w:r>
        <w:rPr>
          <w:b/>
        </w:rPr>
        <w:t>E. 1.3</w:t>
      </w:r>
    </w:p>
    <w:p>
      <w:r>
        <w:t>Die Erteilung von Wasserkraftkonzessionen hat zwar eine politische Komponente. Der angefochtene Konzessionsentscheid umfasst jedoch nicht einzig den blossen Verleihungsakt. Vielmehr werden neben den Rechten insbesondere auch die Pflichten der Konzessionärin detailliert geregelt. So wird etwa verlangt, dass die Konzessionärin die kantonalen und eidgenössischen Gesetzesbestimmungen über den Wasserbau und die Wasserbaupolizei einzuhalten und die Anlagen gemäss den geltenden Vorschriften für den Umwelt-, Natur- und Landschaftsschutz zu betreiben hat. Diese Aspekte sind justiziabel und weisen keinen vorwiegend politischen Charakter auf. Somit ist in einem gerichtlichen Verfahren zu prüfen, ob das Vorhaben der einschlägigen Gesetzgebung, insbesondere den Vorgaben des Bau-, Planungs- und Umweltrechts entspricht. Dass die erstinstanzliche Rechtsanwendung im Konzessionsentscheid des Landrats erfolgte, ändert daran nichts (vgl. RUTH HERZOG, Auswirkungen auf die Staats- und Verwaltungsrechtspflege in den Kantonen, in: Neue Bundesrechtspflege, Pierre Tschannen [Hrsg.], 2007, S. 105). Im konkreten Fall ist namentlich gerichtlich zu prüfen, ob - wie von den Beschwerdeführern geltend gemacht - die Mindestrestwassermenge mit 2'000 Liter pro Sekunde zu tief festgesetzt wurde und hierdurch die Bestimmungen von Art. 29 ff. des Gewässerschutzgesetzes vom 24. Januar 1991 (GSchG; SR 814.20) betreffend die Sicherung angemessener Restwassermengen falsch angewendet wurden (vgl. insoweit auch BGE 126 II 283 ). Zusammenfassend ist damit festzuhalten, dass der angefochtene Konzessionsentscheid mit seinen detaillierten, gerichtlich überprüfbaren Regelungen keinen Entscheid "mit vorwiegend politischem Charakter" darstellt, für welche der Kanton Glarus anstelle eines Gerichts den Landrat als unmittelbare Vorinstanz des Bundesgerichts einsetzen könnte. BGE 136 II 436 S. 440</w:t>
      </w:r>
    </w:p>
    <w:p>
      <w:r>
        <w:rPr>
          <w:b/>
        </w:rPr>
        <w:t>E. 1.4</w:t>
      </w:r>
    </w:p>
    <w:p>
      <w:r>
        <w:t>Angesichts der fehlenden Letztinstanzlichkeit des angefochtenen Entscheids ist auf die Beschwerde nicht einzutreten ( Art. 86 Abs. 2 und 3 BGG ). Demzufolge ist nicht auf die weiteren Anträge und Rügen der Beschwerdeführer einzugehen. Mangels bundesgerichtlicher Zuständigkeit ist insbesondere nicht zu entscheiden, ob es bundesrechtswidrig ist, den Landrat als erstinstanzlich zuständige Behörde vorzusehen. Zur Beurteilung öffentlich-rechtlicher Angelegenheiten ist auf kantonaler Ebene das Verwaltungsgericht zuständig (vgl. Art. 17 ff. des Gesetzes vom 6. Mai 1990 über die Gerichtsorganisation des Kantons Glarus [GS III A/2]). Da die Sache dort bereits hängig ist, ist von einer förmlichen Überweisung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